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33" w:rsidRPr="00BE4E33" w:rsidRDefault="00BE4E33" w:rsidP="00BE4E3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bookmarkStart w:id="0" w:name="_GoBack"/>
      <w:bookmarkEnd w:id="0"/>
      <w:r w:rsidRPr="00BE4E33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О внесении изменений и дополнений в некоторые законодательные акты Республики Казахстан по вопросам усиления борьбы с рейдерством, защиты предпринимательской деятельности от незаконного вмешательства государственных органов и должностных лиц и усиления мер, препятствующих нелегальному обороту драгоценных металлов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E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Казахстан от 2 июля 2021 года № 62-VII ЗРК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>4) главу 10 дополнить статьями 269-1 и 295-1 следующего содержания: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"Статья 269-1. Незаконное проникновение на охраняемый объект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1. Незаконное проникновение на объект, охраняемый в соответствии с законодательством Республики Казахстан правоохранительными или специальными государственными органами, органами и подразделениями Министерства обороны Республики Казахстан, Вооруженными Силами, другими войсками и воинскими формированиями Республики Казахстан, а также на опасный производственный объект, охраняемый частной охранной организацией, причинившее значительный ущерб либо существенный вред правам или охраняемым законом интересам граждан или организаций либо охраняемым законом интересам общества или государства, –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наказывается штрафом в размере до двухсот месячных расчетных показателей либо исправительными работами в том же размере, либо привлечением к общественным работам на срок до двухсот часов, либо арестом на срок до пятидесяти суток.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2. То же деяние, совершенное: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1) с причинением крупного ущерба;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2) с применением насилия либо с угрозой его применения;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3) с применением оружия или предметов, используемых в качестве оружия, взрывчатых веществ или взрывных устройств;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4) группой лиц или группой лиц по предварительному сговору, –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наказывается ограничением свободы на срок до пяти лет либо лишением свободы на тот же срок.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3. Деяния, предусмотренные частями первой или второй настоящей статьи: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1) повлекшие по неосторожности смерть человека или иные тяжкие последствия;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2) совершенные преступной группой, –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наказываются лишением свободы на срок от семи до десяти лет.";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lastRenderedPageBreak/>
        <w:t xml:space="preserve">      "Статья 295-1. Незаконный оборот драгоценных металлов и драгоценных камней, сырьевых товаров, содержащих драгоценные металлы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1. Незаконные добыча, приобретение, сбыт, хранение, перевозка, пересылка драгоценных металлов или драгоценных камней, сырьевых товаров, содержащих драгоценные металлы, –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наказываются штрафом в размере до двухсот месячных расчетных показателей либо исправительными работами в том же размере, либо привлечением к общественным работам на срок до двухсот часов, либо арестом на срок до пятидесяти суток,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2. Те же деяния, совершенные в крупном размере или причинившие крупный ущерб, –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наказываются штрафом в размере до трех тысяч месячных расчетных показателей либо исправительными работами в том же размере, либо привлечением к общественным работам на срок до восьмисот часов, либо ограничением свободы на срок до трех лет, либо лишением свободы на тот же срок,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3. Деяния, предусмотренные частями первой или второй настоящей статьи, совершенные преступной группой либо в особо крупном размере или причинившие особо крупный ущерб, –</w:t>
      </w:r>
    </w:p>
    <w:p w:rsidR="00BE4E33" w:rsidRPr="00BE4E33" w:rsidRDefault="00BE4E33" w:rsidP="00BE4E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87B" w:rsidRDefault="00BE4E33" w:rsidP="00BE4E33">
      <w:pPr>
        <w:spacing w:after="0" w:line="240" w:lineRule="auto"/>
        <w:jc w:val="both"/>
      </w:pPr>
      <w:r w:rsidRPr="00BE4E33">
        <w:rPr>
          <w:rFonts w:ascii="Times New Roman" w:hAnsi="Times New Roman" w:cs="Times New Roman"/>
          <w:sz w:val="28"/>
          <w:szCs w:val="28"/>
        </w:rPr>
        <w:t xml:space="preserve">      наказываются лишением свободы на срок до семи лет с лишением права занимать определенные должности и заниматься определенной деятельностью на срок до пяти л</w:t>
      </w:r>
      <w:r>
        <w:t>ет.";</w:t>
      </w:r>
    </w:p>
    <w:sectPr w:rsidR="0074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E33"/>
    <w:rsid w:val="005B353F"/>
    <w:rsid w:val="0074687B"/>
    <w:rsid w:val="00B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Ануза Абдихамитова</dc:creator>
  <cp:lastModifiedBy>Ануза Абдихамитова</cp:lastModifiedBy>
  <cp:revision>2</cp:revision>
  <dcterms:created xsi:type="dcterms:W3CDTF">2021-08-19T03:07:00Z</dcterms:created>
  <dcterms:modified xsi:type="dcterms:W3CDTF">2021-08-19T03:07:00Z</dcterms:modified>
</cp:coreProperties>
</file>